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298258">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66690" cy="2962910"/>
            <wp:effectExtent l="0" t="0" r="3810" b="8890"/>
            <wp:docPr id="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IMG_256"/>
                    <pic:cNvPicPr>
                      <a:picLocks noChangeAspect="1"/>
                    </pic:cNvPicPr>
                  </pic:nvPicPr>
                  <pic:blipFill>
                    <a:blip r:embed="rId4"/>
                    <a:stretch>
                      <a:fillRect/>
                    </a:stretch>
                  </pic:blipFill>
                  <pic:spPr>
                    <a:xfrm>
                      <a:off x="0" y="0"/>
                      <a:ext cx="5266690" cy="2962910"/>
                    </a:xfrm>
                    <a:prstGeom prst="rect">
                      <a:avLst/>
                    </a:prstGeom>
                    <a:noFill/>
                    <a:ln w="9525">
                      <a:noFill/>
                    </a:ln>
                  </pic:spPr>
                </pic:pic>
              </a:graphicData>
            </a:graphic>
          </wp:inline>
        </w:drawing>
      </w:r>
    </w:p>
    <w:p w14:paraId="75778BA7">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当前，世界正站在一个结构性重塑的十字路口。地缘政治的博弈重塑着产业链条，人工智能的爆发改写竞争规则，而增长的焦虑则催促着每一个组织与个体寻找新锚点。在这个充满不确定性的时代，我们该如何穿透迷雾，找到前行的方向？</w:t>
      </w:r>
    </w:p>
    <w:p w14:paraId="67F8ED20">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01F83047">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本期书单，我们不只提供知识，更试图为你构建一套应对变局的“认知操作系统”。榜单始于对宏观大势的俯瞰——《地缘经济》与《光阴似箭》分别从空间和时间维度，揭示百年变局的底层逻辑，帮助我们理解“为何而变”。继而，我们将目光投向正在爆发的产业前沿，《低空经济十讲》与《向硅谷学创新》为企业和决策者描绘了技术重构商业版图的机遇与路径。</w:t>
      </w:r>
    </w:p>
    <w:p w14:paraId="1BEF4A24">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2DE4CDB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然而，所有的宏大叙事最终要落地为有效的行动。面对组织内部的增长困境，《解决问题的流程》与《流量营销》提供了严谨的方法论，拒绝空谈，直指实效。而在技术与算法日益主宰竞争的时代，人的价值何在？《超级合作者》与《学会卓越》从合作心理学与高绩效训练的角度，回答了人机共创时代的核心竞争力。《重回凯恩斯》与《小实验》则分别从宏观政策的哲学思辨与微观个体的生活哲学出发，提醒我们：无论世界如何变化，对公平的追求、对自我的探索，始终是前行的原点。</w:t>
      </w:r>
    </w:p>
    <w:p w14:paraId="061C58B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15043780">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这十本书，是望远镜，也是显微镜；是战略地图，也是实战手册。愿它们助你在动荡中锚定方向，在复杂中学会卓越。</w:t>
      </w:r>
    </w:p>
    <w:p w14:paraId="1CAE164F">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7561DBB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“YEN TALK”2月经管图书价值榜新鲜出炉，欢迎大家细细“品尝”！</w:t>
      </w:r>
    </w:p>
    <w:p w14:paraId="6FB092B0">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56064B98">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62245" cy="2934335"/>
            <wp:effectExtent l="0" t="0" r="8255" b="12065"/>
            <wp:docPr id="1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IMG_257"/>
                    <pic:cNvPicPr>
                      <a:picLocks noChangeAspect="1"/>
                    </pic:cNvPicPr>
                  </pic:nvPicPr>
                  <pic:blipFill>
                    <a:blip r:embed="rId5"/>
                    <a:stretch>
                      <a:fillRect/>
                    </a:stretch>
                  </pic:blipFill>
                  <pic:spPr>
                    <a:xfrm>
                      <a:off x="0" y="0"/>
                      <a:ext cx="5262245" cy="2934335"/>
                    </a:xfrm>
                    <a:prstGeom prst="rect">
                      <a:avLst/>
                    </a:prstGeom>
                    <a:noFill/>
                    <a:ln w="9525">
                      <a:noFill/>
                    </a:ln>
                  </pic:spPr>
                </pic:pic>
              </a:graphicData>
            </a:graphic>
          </wp:inline>
        </w:drawing>
      </w:r>
      <w:r>
        <w:rPr>
          <w:rFonts w:ascii="宋体" w:hAnsi="宋体" w:eastAsia="宋体" w:cs="宋体"/>
          <w:kern w:val="0"/>
          <w:sz w:val="24"/>
          <w:szCs w:val="24"/>
          <w:lang w:val="en-US" w:eastAsia="zh-CN" w:bidi="ar"/>
        </w:rPr>
        <w:t>1</w:t>
      </w:r>
      <w:r>
        <w:rPr>
          <w:rFonts w:ascii="宋体" w:hAnsi="宋体" w:eastAsia="宋体" w:cs="宋体"/>
          <w:kern w:val="0"/>
          <w:sz w:val="24"/>
          <w:szCs w:val="24"/>
          <w:lang w:val="en-US" w:eastAsia="zh-CN" w:bidi="ar"/>
        </w:rPr>
        <w:drawing>
          <wp:inline distT="0" distB="0" distL="114300" distR="114300">
            <wp:extent cx="5266690" cy="1350645"/>
            <wp:effectExtent l="0" t="0" r="3810" b="8255"/>
            <wp:docPr id="10"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IMG_258"/>
                    <pic:cNvPicPr>
                      <a:picLocks noChangeAspect="1"/>
                    </pic:cNvPicPr>
                  </pic:nvPicPr>
                  <pic:blipFill>
                    <a:blip r:embed="rId6"/>
                    <a:stretch>
                      <a:fillRect/>
                    </a:stretch>
                  </pic:blipFill>
                  <pic:spPr>
                    <a:xfrm>
                      <a:off x="0" y="0"/>
                      <a:ext cx="5266690" cy="1350645"/>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5273040" cy="5273040"/>
            <wp:effectExtent l="0" t="0" r="0" b="10160"/>
            <wp:docPr id="12"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IMG_259"/>
                    <pic:cNvPicPr>
                      <a:picLocks noChangeAspect="1"/>
                    </pic:cNvPicPr>
                  </pic:nvPicPr>
                  <pic:blipFill>
                    <a:blip r:embed="rId7"/>
                    <a:stretch>
                      <a:fillRect/>
                    </a:stretch>
                  </pic:blipFill>
                  <pic:spPr>
                    <a:xfrm>
                      <a:off x="0" y="0"/>
                      <a:ext cx="5273040" cy="5273040"/>
                    </a:xfrm>
                    <a:prstGeom prst="rect">
                      <a:avLst/>
                    </a:prstGeom>
                    <a:noFill/>
                    <a:ln w="9525">
                      <a:noFill/>
                    </a:ln>
                  </pic:spPr>
                </pic:pic>
              </a:graphicData>
            </a:graphic>
          </wp:inline>
        </w:drawing>
      </w:r>
    </w:p>
    <w:p w14:paraId="1DA7AC7C">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sz w:val="15"/>
          <w:szCs w:val="15"/>
          <w:bdr w:val="none" w:color="auto" w:sz="0" w:space="0"/>
        </w:rPr>
        <w:t>《地缘经济：变局与重构》</w:t>
      </w:r>
    </w:p>
    <w:p w14:paraId="102D73BF">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15"/>
          <w:szCs w:val="15"/>
          <w:bdr w:val="none" w:color="auto" w:sz="0" w:space="0"/>
        </w:rPr>
        <w:t>作者：中金研究院 中金公司研究部</w:t>
      </w:r>
    </w:p>
    <w:p w14:paraId="767A6A8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15"/>
          <w:szCs w:val="15"/>
          <w:bdr w:val="none" w:color="auto" w:sz="0" w:space="0"/>
        </w:rPr>
        <w:t>出版社：中信出版集团</w:t>
      </w:r>
    </w:p>
    <w:p w14:paraId="78D58D5D">
      <w:pPr>
        <w:keepNext w:val="0"/>
        <w:keepLines w:val="0"/>
        <w:widowControl/>
        <w:suppressLineNumbers w:val="0"/>
        <w:jc w:val="left"/>
      </w:pPr>
    </w:p>
    <w:p w14:paraId="72809639">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42" w:right="42"/>
      </w:pPr>
      <w:r>
        <w:rPr>
          <w:rStyle w:val="5"/>
          <w:bdr w:val="none" w:color="auto" w:sz="0" w:space="0"/>
        </w:rPr>
        <w:t>上榜理由</w:t>
      </w:r>
    </w:p>
    <w:p w14:paraId="1A4CFEE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当前，中国正面临前所未有的地缘经济挑战。2025年的《政府工作报告》指出，“世界百年变局加速演进，外部环境更趋复杂严峻，可能对我国贸易、科技等领域造成更大冲击。世界经济增长动能不足，单边主义、保护主义加剧，多边贸易体制受阻，关税壁垒增多，冲击全球产业链供应链稳定，对国际经济循环造成阻碍”。</w:t>
      </w:r>
      <w:r>
        <w:rPr>
          <w:color w:val="ED6E00"/>
          <w:bdr w:val="none" w:color="auto" w:sz="0" w:space="0"/>
        </w:rPr>
        <w:t>面对外部环境变化带来的不利影响加深，需要从系统性和战略性的视角进行分析。</w:t>
      </w:r>
    </w:p>
    <w:p w14:paraId="7C58576F">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09062097">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ED6E00"/>
          <w:bdr w:val="none" w:color="auto" w:sz="0" w:space="0"/>
        </w:rPr>
        <w:t>本书所讨论的地缘经济，是指使用经济手段来实现经济目标和非经济目标。这种地缘经济竞争对全球经济运行方式带来深刻冲击。</w:t>
      </w:r>
      <w:r>
        <w:rPr>
          <w:bdr w:val="none" w:color="auto" w:sz="0" w:space="0"/>
        </w:rPr>
        <w:t>一方面，逆全球化导致供给约束增加，损害了全球经济效率。另一方面，财政扩张拉动需求，实体资产的重要性上升，带来去金融化压力。同时，在这一背景下，规模经济的作用进一步提升，中国在绿色产业和人工智能等战略领域具备独特的规模优势，有望在全球地缘经济重构中发挥关键作用。</w:t>
      </w:r>
    </w:p>
    <w:p w14:paraId="2DAC2DF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6F401709">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ED6E00"/>
          <w:bdr w:val="none" w:color="auto" w:sz="0" w:space="0"/>
        </w:rPr>
        <w:t>本书从宏观、资源、产业与金融四个维度探讨地缘经济竞争的新趋势，希望为政府、研究机构及产业界提供一个理解地缘经济变局的综合性研究框架，并尝试为政策制定者提出针对性政策建议。</w:t>
      </w:r>
    </w:p>
    <w:p w14:paraId="6D6FE22B">
      <w:pPr>
        <w:keepNext w:val="0"/>
        <w:keepLines w:val="0"/>
        <w:widowControl/>
        <w:suppressLineNumbers w:val="0"/>
        <w:jc w:val="left"/>
      </w:pPr>
    </w:p>
    <w:p w14:paraId="0727CA8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268336D0">
      <w:pPr>
        <w:keepNext w:val="0"/>
        <w:keepLines w:val="0"/>
        <w:widowControl/>
        <w:suppressLineNumbers w:val="0"/>
        <w:jc w:val="left"/>
      </w:pPr>
      <w:r>
        <w:rPr>
          <w:rStyle w:val="5"/>
          <w:rFonts w:ascii="宋体" w:hAnsi="宋体" w:eastAsia="宋体" w:cs="宋体"/>
          <w:kern w:val="0"/>
          <w:sz w:val="24"/>
          <w:szCs w:val="24"/>
          <w:lang w:val="en-US" w:eastAsia="zh-CN" w:bidi="ar"/>
        </w:rPr>
        <w:t>2</w:t>
      </w:r>
      <w:r>
        <w:rPr>
          <w:rFonts w:ascii="宋体" w:hAnsi="宋体" w:eastAsia="宋体" w:cs="宋体"/>
          <w:kern w:val="0"/>
          <w:sz w:val="24"/>
          <w:szCs w:val="24"/>
          <w:lang w:val="en-US" w:eastAsia="zh-CN" w:bidi="ar"/>
        </w:rPr>
        <w:drawing>
          <wp:inline distT="0" distB="0" distL="114300" distR="114300">
            <wp:extent cx="5266690" cy="1350645"/>
            <wp:effectExtent l="0" t="0" r="3810" b="8255"/>
            <wp:docPr id="13"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60"/>
                    <pic:cNvPicPr>
                      <a:picLocks noChangeAspect="1"/>
                    </pic:cNvPicPr>
                  </pic:nvPicPr>
                  <pic:blipFill>
                    <a:blip r:embed="rId8"/>
                    <a:stretch>
                      <a:fillRect/>
                    </a:stretch>
                  </pic:blipFill>
                  <pic:spPr>
                    <a:xfrm>
                      <a:off x="0" y="0"/>
                      <a:ext cx="5266690" cy="1350645"/>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5273040" cy="5273040"/>
            <wp:effectExtent l="0" t="0" r="0" b="10160"/>
            <wp:docPr id="8"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IMG_261"/>
                    <pic:cNvPicPr>
                      <a:picLocks noChangeAspect="1"/>
                    </pic:cNvPicPr>
                  </pic:nvPicPr>
                  <pic:blipFill>
                    <a:blip r:embed="rId9"/>
                    <a:stretch>
                      <a:fillRect/>
                    </a:stretch>
                  </pic:blipFill>
                  <pic:spPr>
                    <a:xfrm>
                      <a:off x="0" y="0"/>
                      <a:ext cx="5273040" cy="5273040"/>
                    </a:xfrm>
                    <a:prstGeom prst="rect">
                      <a:avLst/>
                    </a:prstGeom>
                    <a:noFill/>
                    <a:ln w="9525">
                      <a:noFill/>
                    </a:ln>
                  </pic:spPr>
                </pic:pic>
              </a:graphicData>
            </a:graphic>
          </wp:inline>
        </w:drawing>
      </w:r>
    </w:p>
    <w:p w14:paraId="52FD0A1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sz w:val="15"/>
          <w:szCs w:val="15"/>
          <w:bdr w:val="none" w:color="auto" w:sz="0" w:space="0"/>
        </w:rPr>
        <w:t>《超级合作者》</w:t>
      </w:r>
    </w:p>
    <w:p w14:paraId="30251B17">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15"/>
          <w:szCs w:val="15"/>
          <w:bdr w:val="none" w:color="auto" w:sz="0" w:space="0"/>
        </w:rPr>
        <w:t>作者：[美]马丁·诺瓦克  罗杰·海菲尔德</w:t>
      </w:r>
    </w:p>
    <w:p w14:paraId="0B7DB549">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15"/>
          <w:szCs w:val="15"/>
          <w:bdr w:val="none" w:color="auto" w:sz="0" w:space="0"/>
        </w:rPr>
        <w:t>出版社：湛庐文化/天津科学技术出版社</w:t>
      </w:r>
    </w:p>
    <w:p w14:paraId="581C79D9">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42" w:right="42"/>
      </w:pPr>
      <w:r>
        <w:rPr>
          <w:rStyle w:val="5"/>
          <w:bdr w:val="none" w:color="auto" w:sz="0" w:space="0"/>
        </w:rPr>
        <w:t>上榜理由</w:t>
      </w:r>
    </w:p>
    <w:p w14:paraId="2666A344">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666666"/>
          <w:bdr w:val="none" w:color="auto" w:sz="0" w:space="0"/>
        </w:rPr>
        <w:t>AI时代，人与人、人与AI之间是竞争，还是合作？这部洞悉人类社会与行为的里程碑式著作全新升级，重磅回归，用40亿年的演化智慧给出答案！</w:t>
      </w:r>
    </w:p>
    <w:p w14:paraId="02118E9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5D0B2FC6">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666666"/>
          <w:bdr w:val="none" w:color="auto" w:sz="0" w:space="0"/>
        </w:rPr>
        <w:t>被誉为“新时代达尔文”的马丁・诺瓦克颠覆“物尽天择”认知，突破性地提出：</w:t>
      </w:r>
      <w:r>
        <w:rPr>
          <w:color w:val="ED6E00"/>
          <w:bdr w:val="none" w:color="auto" w:sz="0" w:space="0"/>
        </w:rPr>
        <w:t>合作是与突变、选择并列的第三项演化原则。</w:t>
      </w:r>
      <w:r>
        <w:rPr>
          <w:color w:val="666666"/>
          <w:bdr w:val="none" w:color="auto" w:sz="0" w:space="0"/>
        </w:rPr>
        <w:t>从吸血蝙蝠的血液互惠到蚂蚁群落的高效分工，从细胞协作抵御癌症到人类贸易网络的构建，无数生动案例证明，</w:t>
      </w:r>
      <w:r>
        <w:rPr>
          <w:color w:val="ED6E00"/>
          <w:bdr w:val="none" w:color="auto" w:sz="0" w:space="0"/>
        </w:rPr>
        <w:t>合作是生存与成功的必然策略。</w:t>
      </w:r>
    </w:p>
    <w:p w14:paraId="6C24BEDC">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0F46305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ED6E00"/>
          <w:bdr w:val="none" w:color="auto" w:sz="0" w:space="0"/>
        </w:rPr>
        <w:t>书中提炼的五大合作机制提供了现实世界问题的理解框架：</w:t>
      </w:r>
      <w:r>
        <w:rPr>
          <w:color w:val="666666"/>
          <w:bdr w:val="none" w:color="auto" w:sz="0" w:space="0"/>
        </w:rPr>
        <w:t>直接互惠搭建信任桥梁，间接互惠彰显名声隐形价值，空间博弈找准协作定位，群体选择凝聚组织力量，亲缘选择优化亲密协作。无论你是希望优化激励机制的企业管理者、试图搭建高效团队的创业者，还是深陷职场内耗的职场人，都能从中找到精准解法。</w:t>
      </w:r>
    </w:p>
    <w:p w14:paraId="2930ACB3">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4262651D">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ED6E00"/>
          <w:bdr w:val="none" w:color="auto" w:sz="0" w:space="0"/>
        </w:rPr>
        <w:t>在AI深度嵌入组织决策的当下，这本书更解锁了人与AI共创的核心逻辑——既为全球性议题提供底层答案，也为商业谈判、团队管理等切身难题给出实操方案</w:t>
      </w:r>
      <w:r>
        <w:rPr>
          <w:color w:val="666666"/>
          <w:bdr w:val="none" w:color="auto" w:sz="0" w:space="0"/>
        </w:rPr>
        <w:t>，助你用科学逻辑把握合作本质，成为AI时代的超级合作者。</w:t>
      </w:r>
    </w:p>
    <w:p w14:paraId="47CA38F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2D530179">
      <w:pPr>
        <w:keepNext w:val="0"/>
        <w:keepLines w:val="0"/>
        <w:widowControl/>
        <w:suppressLineNumbers w:val="0"/>
        <w:jc w:val="left"/>
      </w:pPr>
      <w:r>
        <w:rPr>
          <w:rStyle w:val="5"/>
          <w:rFonts w:ascii="宋体" w:hAnsi="宋体" w:eastAsia="宋体" w:cs="宋体"/>
          <w:kern w:val="0"/>
          <w:sz w:val="24"/>
          <w:szCs w:val="24"/>
          <w:lang w:val="en-US" w:eastAsia="zh-CN" w:bidi="ar"/>
        </w:rPr>
        <w:t>3</w:t>
      </w:r>
      <w:r>
        <w:rPr>
          <w:rFonts w:ascii="宋体" w:hAnsi="宋体" w:eastAsia="宋体" w:cs="宋体"/>
          <w:kern w:val="0"/>
          <w:sz w:val="24"/>
          <w:szCs w:val="24"/>
          <w:lang w:val="en-US" w:eastAsia="zh-CN" w:bidi="ar"/>
        </w:rPr>
        <w:drawing>
          <wp:inline distT="0" distB="0" distL="114300" distR="114300">
            <wp:extent cx="5266690" cy="1350645"/>
            <wp:effectExtent l="0" t="0" r="3810" b="8255"/>
            <wp:docPr id="1"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descr="IMG_262"/>
                    <pic:cNvPicPr>
                      <a:picLocks noChangeAspect="1"/>
                    </pic:cNvPicPr>
                  </pic:nvPicPr>
                  <pic:blipFill>
                    <a:blip r:embed="rId8"/>
                    <a:stretch>
                      <a:fillRect/>
                    </a:stretch>
                  </pic:blipFill>
                  <pic:spPr>
                    <a:xfrm>
                      <a:off x="0" y="0"/>
                      <a:ext cx="5266690" cy="1350645"/>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5273040" cy="5273040"/>
            <wp:effectExtent l="0" t="0" r="0" b="10160"/>
            <wp:docPr id="25"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descr="IMG_263"/>
                    <pic:cNvPicPr>
                      <a:picLocks noChangeAspect="1"/>
                    </pic:cNvPicPr>
                  </pic:nvPicPr>
                  <pic:blipFill>
                    <a:blip r:embed="rId10"/>
                    <a:stretch>
                      <a:fillRect/>
                    </a:stretch>
                  </pic:blipFill>
                  <pic:spPr>
                    <a:xfrm>
                      <a:off x="0" y="0"/>
                      <a:ext cx="5273040" cy="5273040"/>
                    </a:xfrm>
                    <a:prstGeom prst="rect">
                      <a:avLst/>
                    </a:prstGeom>
                    <a:noFill/>
                    <a:ln w="9525">
                      <a:noFill/>
                    </a:ln>
                  </pic:spPr>
                </pic:pic>
              </a:graphicData>
            </a:graphic>
          </wp:inline>
        </w:drawing>
      </w:r>
    </w:p>
    <w:p w14:paraId="5AD96E3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
          <w:bCs/>
          <w:bdr w:val="none" w:color="auto" w:sz="0" w:space="0"/>
        </w:rPr>
        <w:t>《光阴似箭：从工业革命到信息革命》</w:t>
      </w:r>
    </w:p>
    <w:p w14:paraId="78C7D40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作者：克里斯·弗里曼  弗朗西斯·卢桑</w:t>
      </w:r>
    </w:p>
    <w:p w14:paraId="37495ED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出版社：中国人民大学出版社</w:t>
      </w:r>
    </w:p>
    <w:p w14:paraId="5BD5802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42" w:right="42"/>
      </w:pPr>
      <w:r>
        <w:rPr>
          <w:rStyle w:val="5"/>
          <w:bdr w:val="none" w:color="auto" w:sz="0" w:space="0"/>
        </w:rPr>
        <w:t>上榜理由</w:t>
      </w:r>
    </w:p>
    <w:p w14:paraId="3BFEF0E9">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0" w:lineRule="atLeast"/>
        <w:ind w:left="0" w:right="0"/>
        <w:rPr>
          <w:sz w:val="0"/>
          <w:szCs w:val="0"/>
        </w:rPr>
      </w:pPr>
    </w:p>
    <w:p w14:paraId="4A538F44">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本书是创新经济学奠基人之一克里斯·弗里曼与学者弗朗西斯科·卢桑对长波理论的系统性突破。</w:t>
      </w:r>
      <w:r>
        <w:rPr>
          <w:color w:val="ED6E00"/>
          <w:bdr w:val="none" w:color="auto" w:sz="0" w:space="0"/>
        </w:rPr>
        <w:t>他们超越康德拉季耶夫的观察与熊彼特的技术创新论，提出每次经济“长波”实为由技术、科学、经济、政治、文化五大要素交织而成的有机体。新技术如引擎般驱动变革，而其他要素则构成支撑其发展的“辅助系统”。</w:t>
      </w:r>
      <w:r>
        <w:rPr>
          <w:bdr w:val="none" w:color="auto" w:sz="0" w:space="0"/>
        </w:rPr>
        <w:t>自工业革命以来，该有机体已推动五次康德拉季耶夫长波。书中纵横经济史，探讨技术兴衰、产业更迭、就业变迁、生产模式演进（从福特制到网络化），乃至国际体系与文化价值转向，不仅重塑了人们对资本主义演变的理解，也深刻反思了经济学与历史学的互动。本书是经济史、技术创新与社会转型研究者的重要参考读物。</w:t>
      </w:r>
    </w:p>
    <w:p w14:paraId="1B7B07F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pPr>
    </w:p>
    <w:p w14:paraId="4D609F52">
      <w:pPr>
        <w:keepNext w:val="0"/>
        <w:keepLines w:val="0"/>
        <w:widowControl/>
        <w:suppressLineNumbers w:val="0"/>
        <w:jc w:val="left"/>
      </w:pPr>
      <w:r>
        <w:rPr>
          <w:rStyle w:val="5"/>
          <w:rFonts w:ascii="宋体" w:hAnsi="宋体" w:eastAsia="宋体" w:cs="宋体"/>
          <w:kern w:val="0"/>
          <w:sz w:val="24"/>
          <w:szCs w:val="24"/>
          <w:lang w:val="en-US" w:eastAsia="zh-CN" w:bidi="ar"/>
        </w:rPr>
        <w:t>4</w:t>
      </w:r>
      <w:r>
        <w:rPr>
          <w:rFonts w:ascii="宋体" w:hAnsi="宋体" w:eastAsia="宋体" w:cs="宋体"/>
          <w:kern w:val="0"/>
          <w:sz w:val="24"/>
          <w:szCs w:val="24"/>
          <w:lang w:val="en-US" w:eastAsia="zh-CN" w:bidi="ar"/>
        </w:rPr>
        <w:drawing>
          <wp:inline distT="0" distB="0" distL="114300" distR="114300">
            <wp:extent cx="5266690" cy="1350645"/>
            <wp:effectExtent l="0" t="0" r="3810" b="8255"/>
            <wp:docPr id="26"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descr="IMG_264"/>
                    <pic:cNvPicPr>
                      <a:picLocks noChangeAspect="1"/>
                    </pic:cNvPicPr>
                  </pic:nvPicPr>
                  <pic:blipFill>
                    <a:blip r:embed="rId8"/>
                    <a:stretch>
                      <a:fillRect/>
                    </a:stretch>
                  </pic:blipFill>
                  <pic:spPr>
                    <a:xfrm>
                      <a:off x="0" y="0"/>
                      <a:ext cx="5266690" cy="1350645"/>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5273040" cy="5273040"/>
            <wp:effectExtent l="0" t="0" r="0" b="10160"/>
            <wp:docPr id="21"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descr="IMG_265"/>
                    <pic:cNvPicPr>
                      <a:picLocks noChangeAspect="1"/>
                    </pic:cNvPicPr>
                  </pic:nvPicPr>
                  <pic:blipFill>
                    <a:blip r:embed="rId11"/>
                    <a:stretch>
                      <a:fillRect/>
                    </a:stretch>
                  </pic:blipFill>
                  <pic:spPr>
                    <a:xfrm>
                      <a:off x="0" y="0"/>
                      <a:ext cx="5273040" cy="5273040"/>
                    </a:xfrm>
                    <a:prstGeom prst="rect">
                      <a:avLst/>
                    </a:prstGeom>
                    <a:noFill/>
                    <a:ln w="9525">
                      <a:noFill/>
                    </a:ln>
                  </pic:spPr>
                </pic:pic>
              </a:graphicData>
            </a:graphic>
          </wp:inline>
        </w:drawing>
      </w:r>
    </w:p>
    <w:p w14:paraId="2DB4553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
          <w:bCs/>
          <w:bdr w:val="none" w:color="auto" w:sz="0" w:space="0"/>
        </w:rPr>
        <w:t>《小实验：如何在目标至上的世界自由生活》</w:t>
      </w:r>
    </w:p>
    <w:p w14:paraId="4E875A70">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作者：[法]安妮-洛尔·勒坎夫</w:t>
      </w:r>
    </w:p>
    <w:p w14:paraId="4073D30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出版社：中译出版社</w:t>
      </w:r>
    </w:p>
    <w:p w14:paraId="5562D5D0">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42" w:right="42"/>
      </w:pPr>
      <w:r>
        <w:rPr>
          <w:rStyle w:val="5"/>
          <w:bdr w:val="none" w:color="auto" w:sz="0" w:space="0"/>
        </w:rPr>
        <w:t>上榜理由</w:t>
      </w:r>
    </w:p>
    <w:p w14:paraId="71DA51D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0" w:lineRule="atLeast"/>
        <w:ind w:left="0" w:right="0"/>
        <w:rPr>
          <w:sz w:val="0"/>
          <w:szCs w:val="0"/>
        </w:rPr>
      </w:pPr>
    </w:p>
    <w:p w14:paraId="682BCF7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666666"/>
          <w:bdr w:val="none" w:color="auto" w:sz="0" w:space="0"/>
        </w:rPr>
        <w:t>人生并非线性发展，然而我们却总是试图围绕线性目标来塑造它：四年制大学学位、十年职业规划、三十年房贷……如果我们把人生看作一个巨大的实验场呢?</w:t>
      </w:r>
      <w:r>
        <w:rPr>
          <w:color w:val="ED6E00"/>
          <w:bdr w:val="none" w:color="auto" w:sz="0" w:space="0"/>
        </w:rPr>
        <w:t>本书基于古老的哲学命题和最新的科学研究，提供了一种急需的全新视角：不确定性是一种扩展可能性的状态，也是一个蜕变的空间。</w:t>
      </w:r>
    </w:p>
    <w:p w14:paraId="74E5D2DD">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2024D4A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666666"/>
          <w:bdr w:val="none" w:color="auto" w:sz="0" w:space="0"/>
        </w:rPr>
        <w:t>神经科学家兼企业家安妮-洛尔·勒坎夫揭示，你只需要一种实验性的思维模式，就能将挑战转化为自我发现，将怀疑转化为机遇。读者将用循环式的成长模式取代旧有的线性成功模式，在这个模式中，目标是可以在与更广阔的世界对话过程中被发现、追求及调整的。</w:t>
      </w:r>
    </w:p>
    <w:p w14:paraId="7CB8300D">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5AB0413E">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ED6E00"/>
          <w:bdr w:val="none" w:color="auto" w:sz="0" w:space="0"/>
        </w:rPr>
        <w:t>在阅读本书的旅程中，你将提出尖锐的问题，并设计简单却意义深远的实验来寻找答案。你将学会如何摆脱塑造你人生的无形认知脚本，如何驾驭不完美的力量,以及如何在前路迷茫时做出更明智的决定。</w:t>
      </w:r>
    </w:p>
    <w:p w14:paraId="2840306F">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566E1A03">
      <w:pPr>
        <w:keepNext w:val="0"/>
        <w:keepLines w:val="0"/>
        <w:widowControl/>
        <w:suppressLineNumbers w:val="0"/>
        <w:jc w:val="left"/>
      </w:pPr>
      <w:r>
        <w:rPr>
          <w:rStyle w:val="5"/>
          <w:rFonts w:ascii="宋体" w:hAnsi="宋体" w:eastAsia="宋体" w:cs="宋体"/>
          <w:kern w:val="0"/>
          <w:sz w:val="24"/>
          <w:szCs w:val="24"/>
          <w:lang w:val="en-US" w:eastAsia="zh-CN" w:bidi="ar"/>
        </w:rPr>
        <w:t>5</w:t>
      </w:r>
      <w:r>
        <w:rPr>
          <w:rFonts w:ascii="宋体" w:hAnsi="宋体" w:eastAsia="宋体" w:cs="宋体"/>
          <w:kern w:val="0"/>
          <w:sz w:val="24"/>
          <w:szCs w:val="24"/>
          <w:lang w:val="en-US" w:eastAsia="zh-CN" w:bidi="ar"/>
        </w:rPr>
        <w:drawing>
          <wp:inline distT="0" distB="0" distL="114300" distR="114300">
            <wp:extent cx="5266690" cy="1350645"/>
            <wp:effectExtent l="0" t="0" r="3810" b="8255"/>
            <wp:docPr id="22"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descr="IMG_266"/>
                    <pic:cNvPicPr>
                      <a:picLocks noChangeAspect="1"/>
                    </pic:cNvPicPr>
                  </pic:nvPicPr>
                  <pic:blipFill>
                    <a:blip r:embed="rId8"/>
                    <a:stretch>
                      <a:fillRect/>
                    </a:stretch>
                  </pic:blipFill>
                  <pic:spPr>
                    <a:xfrm>
                      <a:off x="0" y="0"/>
                      <a:ext cx="5266690" cy="1350645"/>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5273040" cy="5273040"/>
            <wp:effectExtent l="0" t="0" r="0" b="10160"/>
            <wp:docPr id="23"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descr="IMG_267"/>
                    <pic:cNvPicPr>
                      <a:picLocks noChangeAspect="1"/>
                    </pic:cNvPicPr>
                  </pic:nvPicPr>
                  <pic:blipFill>
                    <a:blip r:embed="rId12"/>
                    <a:stretch>
                      <a:fillRect/>
                    </a:stretch>
                  </pic:blipFill>
                  <pic:spPr>
                    <a:xfrm>
                      <a:off x="0" y="0"/>
                      <a:ext cx="5273040" cy="5273040"/>
                    </a:xfrm>
                    <a:prstGeom prst="rect">
                      <a:avLst/>
                    </a:prstGeom>
                    <a:noFill/>
                    <a:ln w="9525">
                      <a:noFill/>
                    </a:ln>
                  </pic:spPr>
                </pic:pic>
              </a:graphicData>
            </a:graphic>
          </wp:inline>
        </w:drawing>
      </w:r>
    </w:p>
    <w:p w14:paraId="5658857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sz w:val="15"/>
          <w:szCs w:val="15"/>
          <w:bdr w:val="none" w:color="auto" w:sz="0" w:space="0"/>
        </w:rPr>
        <w:t>《重回凯恩斯&lt;通论&gt;精讲》</w:t>
      </w:r>
    </w:p>
    <w:p w14:paraId="4B6031C7">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15"/>
          <w:szCs w:val="15"/>
          <w:bdr w:val="none" w:color="auto" w:sz="0" w:space="0"/>
        </w:rPr>
        <w:t>作者：卢麒元</w:t>
      </w:r>
    </w:p>
    <w:p w14:paraId="0C073F10">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15"/>
          <w:szCs w:val="15"/>
          <w:bdr w:val="none" w:color="auto" w:sz="0" w:space="0"/>
        </w:rPr>
        <w:t>出版社：东方出版社</w:t>
      </w:r>
    </w:p>
    <w:p w14:paraId="77375873">
      <w:pPr>
        <w:keepNext w:val="0"/>
        <w:keepLines w:val="0"/>
        <w:widowControl/>
        <w:suppressLineNumbers w:val="0"/>
        <w:jc w:val="left"/>
      </w:pPr>
    </w:p>
    <w:p w14:paraId="723516B7">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42" w:right="42"/>
      </w:pPr>
      <w:r>
        <w:rPr>
          <w:rStyle w:val="5"/>
          <w:bdr w:val="none" w:color="auto" w:sz="0" w:space="0"/>
        </w:rPr>
        <w:t>上榜理由</w:t>
      </w:r>
    </w:p>
    <w:p w14:paraId="15692C8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666666"/>
          <w:bdr w:val="none" w:color="auto" w:sz="0" w:space="0"/>
        </w:rPr>
        <w:t>就业和货币问题的解决办法都写在了凯恩斯的《通论》里，而</w:t>
      </w:r>
      <w:r>
        <w:rPr>
          <w:color w:val="ED6E00"/>
          <w:bdr w:val="none" w:color="auto" w:sz="0" w:space="0"/>
        </w:rPr>
        <w:t>卢麒元基于自身长达四十年的财政、管理和投资经验，聚焦当下经济，为读者重新梳理了经典经济学的核心逻辑和精华观点。</w:t>
      </w:r>
    </w:p>
    <w:p w14:paraId="2147E2B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6EF01D2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666666"/>
          <w:bdr w:val="none" w:color="auto" w:sz="0" w:space="0"/>
        </w:rPr>
        <w:t>《通论》(全称《就业、利息和货币通论》)不仅是一部经济学著作，更是一部具有哲学高度的作品，凯恩斯指出政府对经济的干预不仅是为了经济的稳定和发展，还是为了实现社会的公平和正义;他以就业为核心来构建理论体系，通过衡量工资水平的有效需求来分析宏观经济形势。</w:t>
      </w:r>
      <w:r>
        <w:rPr>
          <w:color w:val="ED6E00"/>
          <w:bdr w:val="none" w:color="auto" w:sz="0" w:space="0"/>
        </w:rPr>
        <w:t>所以，解决就业和货币问题无法绕开《通论》，这也是为什么每一次在经济遭遇衰退风险时，凯恩斯主义经济理论都会重回舞台中央。</w:t>
      </w:r>
    </w:p>
    <w:p w14:paraId="683D1AA4">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6</w:t>
      </w:r>
      <w:r>
        <w:rPr>
          <w:rFonts w:ascii="宋体" w:hAnsi="宋体" w:eastAsia="宋体" w:cs="宋体"/>
          <w:kern w:val="0"/>
          <w:sz w:val="24"/>
          <w:szCs w:val="24"/>
          <w:lang w:val="en-US" w:eastAsia="zh-CN" w:bidi="ar"/>
        </w:rPr>
        <w:drawing>
          <wp:inline distT="0" distB="0" distL="114300" distR="114300">
            <wp:extent cx="5266690" cy="1350645"/>
            <wp:effectExtent l="0" t="0" r="3810" b="8255"/>
            <wp:docPr id="19"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descr="IMG_268"/>
                    <pic:cNvPicPr>
                      <a:picLocks noChangeAspect="1"/>
                    </pic:cNvPicPr>
                  </pic:nvPicPr>
                  <pic:blipFill>
                    <a:blip r:embed="rId6"/>
                    <a:stretch>
                      <a:fillRect/>
                    </a:stretch>
                  </pic:blipFill>
                  <pic:spPr>
                    <a:xfrm>
                      <a:off x="0" y="0"/>
                      <a:ext cx="5266690" cy="1350645"/>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5273040" cy="5273040"/>
            <wp:effectExtent l="0" t="0" r="0" b="10160"/>
            <wp:docPr id="24"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4" descr="IMG_269"/>
                    <pic:cNvPicPr>
                      <a:picLocks noChangeAspect="1"/>
                    </pic:cNvPicPr>
                  </pic:nvPicPr>
                  <pic:blipFill>
                    <a:blip r:embed="rId13"/>
                    <a:stretch>
                      <a:fillRect/>
                    </a:stretch>
                  </pic:blipFill>
                  <pic:spPr>
                    <a:xfrm>
                      <a:off x="0" y="0"/>
                      <a:ext cx="5273040" cy="5273040"/>
                    </a:xfrm>
                    <a:prstGeom prst="rect">
                      <a:avLst/>
                    </a:prstGeom>
                    <a:noFill/>
                    <a:ln w="9525">
                      <a:noFill/>
                    </a:ln>
                  </pic:spPr>
                </pic:pic>
              </a:graphicData>
            </a:graphic>
          </wp:inline>
        </w:drawing>
      </w:r>
    </w:p>
    <w:p w14:paraId="58A5BD5D">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sz w:val="15"/>
          <w:szCs w:val="15"/>
          <w:bdr w:val="none" w:color="auto" w:sz="0" w:space="0"/>
        </w:rPr>
        <w:t>《解决问题的流程》</w:t>
      </w:r>
    </w:p>
    <w:p w14:paraId="76CF1F23">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15"/>
          <w:szCs w:val="15"/>
          <w:bdr w:val="none" w:color="auto" w:sz="0" w:space="0"/>
        </w:rPr>
        <w:t>作者：李传杰</w:t>
      </w:r>
    </w:p>
    <w:p w14:paraId="65FD7BA9">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15"/>
          <w:szCs w:val="15"/>
          <w:bdr w:val="none" w:color="auto" w:sz="0" w:space="0"/>
        </w:rPr>
        <w:t>出版社：机械工业出版社</w:t>
      </w:r>
    </w:p>
    <w:p w14:paraId="19E53436">
      <w:pPr>
        <w:keepNext w:val="0"/>
        <w:keepLines w:val="0"/>
        <w:widowControl/>
        <w:suppressLineNumbers w:val="0"/>
        <w:jc w:val="left"/>
      </w:pPr>
    </w:p>
    <w:p w14:paraId="2AB93D6F">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42" w:right="42"/>
      </w:pPr>
      <w:r>
        <w:rPr>
          <w:rStyle w:val="5"/>
          <w:bdr w:val="none" w:color="auto" w:sz="0" w:space="0"/>
        </w:rPr>
        <w:t>上榜理由</w:t>
      </w:r>
    </w:p>
    <w:p w14:paraId="5EC64157">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666666"/>
          <w:bdr w:val="none" w:color="auto" w:sz="0" w:space="0"/>
        </w:rPr>
        <w:t>在全球复杂局势下，中国企业在经营管理领域正面临着双重挑战，具体表现为收入增长动力匮乏及成本控制压力急剧攀升。因此，如何突破当前困境成为绝大多数企业的核心诉求。</w:t>
      </w:r>
    </w:p>
    <w:p w14:paraId="2892FEF0">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39BBDB30">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ED6E00"/>
          <w:bdr w:val="none" w:color="auto" w:sz="0" w:space="0"/>
        </w:rPr>
        <w:t>本书提炼"并购之王"丹纳赫战略管理闭环流程精髓，同时弥补华为与IBM 的BLM(业务领先模型)在双差分析方法论方面的短板，为企业构建完整的问题解决与战略管理能力提供坚实支撑。</w:t>
      </w:r>
      <w:r>
        <w:rPr>
          <w:color w:val="666666"/>
          <w:bdr w:val="none" w:color="auto" w:sz="0" w:space="0"/>
        </w:rPr>
        <w:t>本书的创新之处在于开创性地引入IDEA 框架，</w:t>
      </w:r>
      <w:r>
        <w:rPr>
          <w:color w:val="ED6E00"/>
          <w:bdr w:val="none" w:color="auto" w:sz="0" w:space="0"/>
        </w:rPr>
        <w:t>为企业搭建起涵盖"定义问题一挖掘根因一执行对策一自动化维持"的全链路解题框架。</w:t>
      </w:r>
      <w:r>
        <w:rPr>
          <w:color w:val="666666"/>
          <w:bdr w:val="none" w:color="auto" w:sz="0" w:space="0"/>
        </w:rPr>
        <w:t>与纯理论图书不同，本书通过中小型制造企业降本增效、百亿元规模互联网企业拉动有机增长等5 个一镜到底的案例，以及34 个场景案例、20 余个基于第一性原理的模型公式、187 张图表，使逻辑清晰易懂，将方法论转化为可落地的实践指南，助力读者快速理解与应用。</w:t>
      </w:r>
    </w:p>
    <w:p w14:paraId="749D94D3">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5A8E1960">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666666"/>
          <w:bdr w:val="none" w:color="auto" w:sz="0" w:space="0"/>
        </w:rPr>
        <w:t>作为卓越运营管理体系丛书之一，本书还提炼了13 个管理工具的5W1H、框架简介与实战案例，为DBS 等卓越运营管理工具的定制、开发提供支持。 </w:t>
      </w:r>
    </w:p>
    <w:p w14:paraId="19092CB0">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br w:type="textWrapping"/>
      </w:r>
      <w:r>
        <w:rPr>
          <w:rStyle w:val="5"/>
          <w:rFonts w:ascii="宋体" w:hAnsi="宋体" w:eastAsia="宋体" w:cs="宋体"/>
          <w:kern w:val="0"/>
          <w:sz w:val="24"/>
          <w:szCs w:val="24"/>
          <w:lang w:val="en-US" w:eastAsia="zh-CN" w:bidi="ar"/>
        </w:rPr>
        <w:t>7</w:t>
      </w:r>
      <w:r>
        <w:rPr>
          <w:rFonts w:ascii="宋体" w:hAnsi="宋体" w:eastAsia="宋体" w:cs="宋体"/>
          <w:kern w:val="0"/>
          <w:sz w:val="24"/>
          <w:szCs w:val="24"/>
          <w:lang w:val="en-US" w:eastAsia="zh-CN" w:bidi="ar"/>
        </w:rPr>
        <w:drawing>
          <wp:inline distT="0" distB="0" distL="114300" distR="114300">
            <wp:extent cx="5266690" cy="1350645"/>
            <wp:effectExtent l="0" t="0" r="3810" b="8255"/>
            <wp:docPr id="14"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 descr="IMG_270"/>
                    <pic:cNvPicPr>
                      <a:picLocks noChangeAspect="1"/>
                    </pic:cNvPicPr>
                  </pic:nvPicPr>
                  <pic:blipFill>
                    <a:blip r:embed="rId8"/>
                    <a:stretch>
                      <a:fillRect/>
                    </a:stretch>
                  </pic:blipFill>
                  <pic:spPr>
                    <a:xfrm>
                      <a:off x="0" y="0"/>
                      <a:ext cx="5266690" cy="1350645"/>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5273040" cy="5273040"/>
            <wp:effectExtent l="0" t="0" r="0" b="10160"/>
            <wp:docPr id="3"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IMG_271"/>
                    <pic:cNvPicPr>
                      <a:picLocks noChangeAspect="1"/>
                    </pic:cNvPicPr>
                  </pic:nvPicPr>
                  <pic:blipFill>
                    <a:blip r:embed="rId14"/>
                    <a:stretch>
                      <a:fillRect/>
                    </a:stretch>
                  </pic:blipFill>
                  <pic:spPr>
                    <a:xfrm>
                      <a:off x="0" y="0"/>
                      <a:ext cx="5273040" cy="5273040"/>
                    </a:xfrm>
                    <a:prstGeom prst="rect">
                      <a:avLst/>
                    </a:prstGeom>
                    <a:noFill/>
                    <a:ln w="9525">
                      <a:noFill/>
                    </a:ln>
                  </pic:spPr>
                </pic:pic>
              </a:graphicData>
            </a:graphic>
          </wp:inline>
        </w:drawing>
      </w:r>
    </w:p>
    <w:p w14:paraId="42E7E85F">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sz w:val="15"/>
          <w:szCs w:val="15"/>
          <w:bdr w:val="none" w:color="auto" w:sz="0" w:space="0"/>
        </w:rPr>
        <w:t>《低空经济十讲》</w:t>
      </w:r>
      <w:r>
        <w:rPr>
          <w:rStyle w:val="5"/>
          <w:sz w:val="15"/>
          <w:szCs w:val="15"/>
          <w:bdr w:val="none" w:color="auto" w:sz="0" w:space="0"/>
        </w:rPr>
        <w:br w:type="textWrapping"/>
      </w:r>
      <w:r>
        <w:rPr>
          <w:color w:val="000000"/>
          <w:sz w:val="15"/>
          <w:szCs w:val="15"/>
          <w:bdr w:val="none" w:color="auto" w:sz="0" w:space="0"/>
        </w:rPr>
        <w:t>作者：钟惠波  高兴</w:t>
      </w:r>
    </w:p>
    <w:p w14:paraId="5AB364C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15"/>
          <w:szCs w:val="15"/>
          <w:bdr w:val="none" w:color="auto" w:sz="0" w:space="0"/>
        </w:rPr>
        <w:t>出版社：中国人民大学出版社</w:t>
      </w:r>
    </w:p>
    <w:p w14:paraId="16CA8095">
      <w:pPr>
        <w:keepNext w:val="0"/>
        <w:keepLines w:val="0"/>
        <w:widowControl/>
        <w:suppressLineNumbers w:val="0"/>
        <w:jc w:val="left"/>
      </w:pPr>
    </w:p>
    <w:p w14:paraId="7D8117D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42" w:right="42"/>
      </w:pPr>
      <w:r>
        <w:rPr>
          <w:rStyle w:val="5"/>
          <w:bdr w:val="none" w:color="auto" w:sz="0" w:space="0"/>
        </w:rPr>
        <w:t>上榜理由</w:t>
      </w:r>
    </w:p>
    <w:p w14:paraId="2219F4D4">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0" w:lineRule="atLeast"/>
        <w:ind w:left="0" w:right="0"/>
        <w:rPr>
          <w:sz w:val="0"/>
          <w:szCs w:val="0"/>
        </w:rPr>
      </w:pPr>
    </w:p>
    <w:p w14:paraId="0BEB0846">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低空经济作为极具潜力的未来产业，正在深度重塑城市空间与商业版图。</w:t>
      </w:r>
      <w:r>
        <w:rPr>
          <w:color w:val="ED6E00"/>
          <w:bdr w:val="none" w:color="auto" w:sz="0" w:space="0"/>
        </w:rPr>
        <w:t>本书作为系统论述该产业全貌的重磅力作，以“十讲”为脉络，用通俗语言全景式拆解其核心逻辑。从概念溯源、技术搭建到制度供给、场景落地，再到产业链梳理与治理框架构建，层层递进地勾勒出这一新兴领域的全貌。</w:t>
      </w:r>
    </w:p>
    <w:p w14:paraId="300BA779">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25F4662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作者深刻阐释了如何通过制度松绑与平台化调度，驱动三维城市空间的结构变革，并在价值评估与风险管理方面提供了系统化框架。本书不仅是学生与入门者快速建立行业认知的优质通识读物，更能为政策制定者、企业决策者及理论研究者提供精准的实战参考与逻辑支撑。</w:t>
      </w:r>
    </w:p>
    <w:p w14:paraId="11B5ED93">
      <w:pPr>
        <w:keepNext w:val="0"/>
        <w:keepLines w:val="0"/>
        <w:widowControl/>
        <w:suppressLineNumbers w:val="0"/>
        <w:jc w:val="left"/>
      </w:pPr>
    </w:p>
    <w:p w14:paraId="2AD49724">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538A4B40">
      <w:pPr>
        <w:keepNext w:val="0"/>
        <w:keepLines w:val="0"/>
        <w:widowControl/>
        <w:suppressLineNumbers w:val="0"/>
        <w:jc w:val="left"/>
      </w:pPr>
      <w:r>
        <w:rPr>
          <w:rStyle w:val="5"/>
          <w:rFonts w:ascii="宋体" w:hAnsi="宋体" w:eastAsia="宋体" w:cs="宋体"/>
          <w:kern w:val="0"/>
          <w:sz w:val="24"/>
          <w:szCs w:val="24"/>
          <w:lang w:val="en-US" w:eastAsia="zh-CN" w:bidi="ar"/>
        </w:rPr>
        <w:t>8</w:t>
      </w:r>
      <w:r>
        <w:rPr>
          <w:rFonts w:ascii="宋体" w:hAnsi="宋体" w:eastAsia="宋体" w:cs="宋体"/>
          <w:kern w:val="0"/>
          <w:sz w:val="24"/>
          <w:szCs w:val="24"/>
          <w:lang w:val="en-US" w:eastAsia="zh-CN" w:bidi="ar"/>
        </w:rPr>
        <w:drawing>
          <wp:inline distT="0" distB="0" distL="114300" distR="114300">
            <wp:extent cx="5266690" cy="1350645"/>
            <wp:effectExtent l="0" t="0" r="3810" b="8255"/>
            <wp:docPr id="2"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7" descr="IMG_272"/>
                    <pic:cNvPicPr>
                      <a:picLocks noChangeAspect="1"/>
                    </pic:cNvPicPr>
                  </pic:nvPicPr>
                  <pic:blipFill>
                    <a:blip r:embed="rId8"/>
                    <a:stretch>
                      <a:fillRect/>
                    </a:stretch>
                  </pic:blipFill>
                  <pic:spPr>
                    <a:xfrm>
                      <a:off x="0" y="0"/>
                      <a:ext cx="5266690" cy="1350645"/>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5273040" cy="5273040"/>
            <wp:effectExtent l="0" t="0" r="0" b="10160"/>
            <wp:docPr id="15"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8" descr="IMG_273"/>
                    <pic:cNvPicPr>
                      <a:picLocks noChangeAspect="1"/>
                    </pic:cNvPicPr>
                  </pic:nvPicPr>
                  <pic:blipFill>
                    <a:blip r:embed="rId15"/>
                    <a:stretch>
                      <a:fillRect/>
                    </a:stretch>
                  </pic:blipFill>
                  <pic:spPr>
                    <a:xfrm>
                      <a:off x="0" y="0"/>
                      <a:ext cx="5273040" cy="5273040"/>
                    </a:xfrm>
                    <a:prstGeom prst="rect">
                      <a:avLst/>
                    </a:prstGeom>
                    <a:noFill/>
                    <a:ln w="9525">
                      <a:noFill/>
                    </a:ln>
                  </pic:spPr>
                </pic:pic>
              </a:graphicData>
            </a:graphic>
          </wp:inline>
        </w:drawing>
      </w:r>
    </w:p>
    <w:p w14:paraId="46F458B4">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
          <w:bCs/>
          <w:bdr w:val="none" w:color="auto" w:sz="0" w:space="0"/>
        </w:rPr>
        <w:t>《流量营销》</w:t>
      </w:r>
    </w:p>
    <w:p w14:paraId="38D0AAE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作者：[英] 亚历克斯·舒尔茨</w:t>
      </w:r>
    </w:p>
    <w:p w14:paraId="65858B4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出版社：中信出版集团</w:t>
      </w:r>
    </w:p>
    <w:p w14:paraId="2A542E5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42" w:right="42"/>
      </w:pPr>
      <w:r>
        <w:rPr>
          <w:rStyle w:val="5"/>
          <w:bdr w:val="none" w:color="auto" w:sz="0" w:space="0"/>
        </w:rPr>
        <w:t>上榜理由</w:t>
      </w:r>
    </w:p>
    <w:p w14:paraId="446780AD">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0" w:lineRule="atLeast"/>
        <w:ind w:left="0" w:right="0"/>
        <w:rPr>
          <w:sz w:val="0"/>
          <w:szCs w:val="0"/>
        </w:rPr>
      </w:pPr>
    </w:p>
    <w:p w14:paraId="281C1A40">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《流量营销》是一部系统梳理数字营销本质与增长方法论的专业著作，凝聚了作者二十余年在全球一线市场的实践经验。</w:t>
      </w:r>
    </w:p>
    <w:p w14:paraId="65A40BB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2CBFEDA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ED6E00"/>
          <w:bdr w:val="none" w:color="auto" w:sz="0" w:space="0"/>
        </w:rPr>
        <w:t>本书关注的并非“如何获取更多流量”，而是一个更根本的问题：如何判断一项营销行为是否真正产生了有效且可持续的商业结果。</w:t>
      </w:r>
    </w:p>
    <w:p w14:paraId="77859FE4">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414E41D3">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ED6E00"/>
          <w:bdr w:val="none" w:color="auto" w:sz="0" w:space="0"/>
        </w:rPr>
        <w:t>全书以“增量结果至上”为核心原则，强调所有营销行为都应接受真实增量的检验，而非仅以曝光、点击或短期转化作为成功标准。</w:t>
      </w:r>
    </w:p>
    <w:p w14:paraId="19D73D7C">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1793EE0C">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内容结构上，本书分为三个层面：</w:t>
      </w:r>
    </w:p>
    <w:p w14:paraId="04204427">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1.基础概念：重新理解营销的本质、用户决策路径与漏斗结构</w:t>
      </w:r>
    </w:p>
    <w:p w14:paraId="1FDF656F">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2.增长基石：如何建立可测量、可实验、可迭代的营销体系</w:t>
      </w:r>
    </w:p>
    <w:p w14:paraId="7BF0D5AD">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3.渠道解析：理性分析主流数字渠道，避免盲目投入与路径依赖</w:t>
      </w:r>
    </w:p>
    <w:p w14:paraId="5611E90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3116A49C">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《流量营销》并非技巧速成书，而是一套可反复使用、可随环境更新的增长判断框架。</w:t>
      </w:r>
    </w:p>
    <w:p w14:paraId="7360E270">
      <w:pPr>
        <w:keepNext w:val="0"/>
        <w:keepLines w:val="0"/>
        <w:widowControl/>
        <w:suppressLineNumbers w:val="0"/>
        <w:jc w:val="left"/>
      </w:pPr>
      <w:r>
        <w:rPr>
          <w:rStyle w:val="5"/>
          <w:rFonts w:ascii="宋体" w:hAnsi="宋体" w:eastAsia="宋体" w:cs="宋体"/>
          <w:kern w:val="0"/>
          <w:sz w:val="24"/>
          <w:szCs w:val="24"/>
          <w:lang w:val="en-US" w:eastAsia="zh-CN" w:bidi="ar"/>
        </w:rPr>
        <w:br w:type="textWrapping"/>
      </w:r>
      <w:r>
        <w:rPr>
          <w:rStyle w:val="5"/>
          <w:rFonts w:ascii="宋体" w:hAnsi="宋体" w:eastAsia="宋体" w:cs="宋体"/>
          <w:kern w:val="0"/>
          <w:sz w:val="24"/>
          <w:szCs w:val="24"/>
          <w:lang w:val="en-US" w:eastAsia="zh-CN" w:bidi="ar"/>
        </w:rPr>
        <w:t>9</w:t>
      </w:r>
      <w:r>
        <w:rPr>
          <w:rFonts w:ascii="宋体" w:hAnsi="宋体" w:eastAsia="宋体" w:cs="宋体"/>
          <w:kern w:val="0"/>
          <w:sz w:val="24"/>
          <w:szCs w:val="24"/>
          <w:lang w:val="en-US" w:eastAsia="zh-CN" w:bidi="ar"/>
        </w:rPr>
        <w:drawing>
          <wp:inline distT="0" distB="0" distL="114300" distR="114300">
            <wp:extent cx="5266690" cy="1350645"/>
            <wp:effectExtent l="0" t="0" r="3810" b="8255"/>
            <wp:docPr id="20"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IMG_274"/>
                    <pic:cNvPicPr>
                      <a:picLocks noChangeAspect="1"/>
                    </pic:cNvPicPr>
                  </pic:nvPicPr>
                  <pic:blipFill>
                    <a:blip r:embed="rId8"/>
                    <a:stretch>
                      <a:fillRect/>
                    </a:stretch>
                  </pic:blipFill>
                  <pic:spPr>
                    <a:xfrm>
                      <a:off x="0" y="0"/>
                      <a:ext cx="5266690" cy="1350645"/>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5273040" cy="5273040"/>
            <wp:effectExtent l="0" t="0" r="0" b="10160"/>
            <wp:docPr id="5"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0" descr="IMG_275"/>
                    <pic:cNvPicPr>
                      <a:picLocks noChangeAspect="1"/>
                    </pic:cNvPicPr>
                  </pic:nvPicPr>
                  <pic:blipFill>
                    <a:blip r:embed="rId16"/>
                    <a:stretch>
                      <a:fillRect/>
                    </a:stretch>
                  </pic:blipFill>
                  <pic:spPr>
                    <a:xfrm>
                      <a:off x="0" y="0"/>
                      <a:ext cx="5273040" cy="5273040"/>
                    </a:xfrm>
                    <a:prstGeom prst="rect">
                      <a:avLst/>
                    </a:prstGeom>
                    <a:noFill/>
                    <a:ln w="9525">
                      <a:noFill/>
                    </a:ln>
                  </pic:spPr>
                </pic:pic>
              </a:graphicData>
            </a:graphic>
          </wp:inline>
        </w:drawing>
      </w:r>
    </w:p>
    <w:p w14:paraId="18C5E0D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sz w:val="15"/>
          <w:szCs w:val="15"/>
          <w:bdr w:val="none" w:color="auto" w:sz="0" w:space="0"/>
        </w:rPr>
        <w:t>《向硅谷学创新：未来企业永续生存法则》</w:t>
      </w:r>
    </w:p>
    <w:p w14:paraId="5DE8BDEF">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15"/>
          <w:szCs w:val="15"/>
          <w:bdr w:val="none" w:color="auto" w:sz="0" w:space="0"/>
        </w:rPr>
        <w:t>作者：[美]贝南·塔布里奇</w:t>
      </w:r>
    </w:p>
    <w:p w14:paraId="1327E19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15"/>
          <w:szCs w:val="15"/>
          <w:bdr w:val="none" w:color="auto" w:sz="0" w:space="0"/>
        </w:rPr>
        <w:t>出版社：颉腾文化/中国广播影视出版社</w:t>
      </w:r>
    </w:p>
    <w:p w14:paraId="29960DC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42" w:right="42"/>
      </w:pPr>
      <w:r>
        <w:rPr>
          <w:rStyle w:val="5"/>
          <w:bdr w:val="none" w:color="auto" w:sz="0" w:space="0"/>
        </w:rPr>
        <w:t>上榜理由</w:t>
      </w:r>
    </w:p>
    <w:p w14:paraId="0451A71C">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0" w:lineRule="atLeast"/>
        <w:ind w:left="0" w:right="0"/>
        <w:rPr>
          <w:sz w:val="0"/>
          <w:szCs w:val="0"/>
        </w:rPr>
      </w:pPr>
    </w:p>
    <w:p w14:paraId="616BD97F">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666666"/>
          <w:sz w:val="15"/>
          <w:szCs w:val="15"/>
          <w:bdr w:val="none" w:color="auto" w:sz="0" w:space="0"/>
        </w:rPr>
        <w:t>为什么昨日的行业巨头，最终都难逃衰落的宿命？为什么我们引以为傲的成功经验，正悄然变成阻碍创新的巨大惯性？</w:t>
      </w:r>
    </w:p>
    <w:p w14:paraId="4773EED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6147706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ED6E00"/>
          <w:sz w:val="15"/>
          <w:szCs w:val="15"/>
          <w:bdr w:val="none" w:color="auto" w:sz="0" w:space="0"/>
        </w:rPr>
        <w:t>这不只是一本讲创新的书，更是一本对抗组织惯性的实战手册。</w:t>
      </w:r>
    </w:p>
    <w:p w14:paraId="22652674">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52D38FB9">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666666"/>
          <w:sz w:val="15"/>
          <w:szCs w:val="15"/>
          <w:bdr w:val="none" w:color="auto" w:sz="0" w:space="0"/>
        </w:rPr>
        <w:t>斯坦福大学转型专家贝南·塔布里奇，历经25年研究，深入苹果、亚马逊、特斯拉等顶尖企业，首次揭示了它们摆脱“规模诅咒”、实现永续生存的8大核心支柱。</w:t>
      </w:r>
    </w:p>
    <w:p w14:paraId="0683F514">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721BA461">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ED6E00"/>
          <w:sz w:val="15"/>
          <w:szCs w:val="15"/>
          <w:bdr w:val="none" w:color="auto" w:sz="0" w:space="0"/>
        </w:rPr>
        <w:t>本书构建了一个完整的“永续创新操作系统”，从奠定“利他”的文化基石，到点燃“激情”的组织引擎，再到落实“勇气”的战略行动，为你提供了一套逻辑严谨、拿来即用的转型路线图。</w:t>
      </w:r>
    </w:p>
    <w:p w14:paraId="214F3994">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0E533919">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666666"/>
          <w:sz w:val="15"/>
          <w:szCs w:val="15"/>
          <w:bdr w:val="none" w:color="auto" w:sz="0" w:space="0"/>
        </w:rPr>
        <w:t>它将帮助你回答：</w:t>
      </w:r>
    </w:p>
    <w:p w14:paraId="259986FC">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666666"/>
          <w:sz w:val="15"/>
          <w:szCs w:val="15"/>
          <w:bdr w:val="none" w:color="auto" w:sz="0" w:space="0"/>
        </w:rPr>
        <w:t>当规模成为枷锁，如何重获创业期的敏捷？</w:t>
      </w:r>
    </w:p>
    <w:p w14:paraId="110BC2E7">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666666"/>
          <w:sz w:val="15"/>
          <w:szCs w:val="15"/>
          <w:bdr w:val="none" w:color="auto" w:sz="0" w:space="0"/>
        </w:rPr>
        <w:t>如何打造一个既能高效执行，又能大胆探索的“双模组织”？</w:t>
      </w:r>
    </w:p>
    <w:p w14:paraId="581D48BE">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666666"/>
          <w:sz w:val="15"/>
          <w:szCs w:val="15"/>
          <w:bdr w:val="none" w:color="auto" w:sz="0" w:space="0"/>
        </w:rPr>
        <w:t>如何让创新从少数人的灵光一现，变成整个组织的文化基因？</w:t>
      </w:r>
    </w:p>
    <w:p w14:paraId="303527B2">
      <w:pPr>
        <w:keepNext w:val="0"/>
        <w:keepLines w:val="0"/>
        <w:widowControl/>
        <w:suppressLineNumbers w:val="0"/>
        <w:jc w:val="left"/>
      </w:pPr>
      <w:r>
        <w:rPr>
          <w:rFonts w:ascii="宋体" w:hAnsi="宋体" w:eastAsia="宋体" w:cs="宋体"/>
          <w:kern w:val="0"/>
          <w:sz w:val="24"/>
          <w:szCs w:val="24"/>
          <w:lang w:val="en-US" w:eastAsia="zh-CN" w:bidi="ar"/>
        </w:rPr>
        <w:br w:type="textWrapping"/>
      </w:r>
      <w:r>
        <w:rPr>
          <w:rStyle w:val="5"/>
          <w:rFonts w:ascii="宋体" w:hAnsi="宋体" w:eastAsia="宋体" w:cs="宋体"/>
          <w:kern w:val="0"/>
          <w:sz w:val="24"/>
          <w:szCs w:val="24"/>
          <w:lang w:val="en-US" w:eastAsia="zh-CN" w:bidi="ar"/>
        </w:rPr>
        <w:t>10</w:t>
      </w:r>
      <w:r>
        <w:rPr>
          <w:rFonts w:ascii="宋体" w:hAnsi="宋体" w:eastAsia="宋体" w:cs="宋体"/>
          <w:kern w:val="0"/>
          <w:sz w:val="24"/>
          <w:szCs w:val="24"/>
          <w:lang w:val="en-US" w:eastAsia="zh-CN" w:bidi="ar"/>
        </w:rPr>
        <w:drawing>
          <wp:inline distT="0" distB="0" distL="114300" distR="114300">
            <wp:extent cx="5266690" cy="1350645"/>
            <wp:effectExtent l="0" t="0" r="3810" b="8255"/>
            <wp:docPr id="4"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IMG_276"/>
                    <pic:cNvPicPr>
                      <a:picLocks noChangeAspect="1"/>
                    </pic:cNvPicPr>
                  </pic:nvPicPr>
                  <pic:blipFill>
                    <a:blip r:embed="rId8"/>
                    <a:stretch>
                      <a:fillRect/>
                    </a:stretch>
                  </pic:blipFill>
                  <pic:spPr>
                    <a:xfrm>
                      <a:off x="0" y="0"/>
                      <a:ext cx="5266690" cy="1350645"/>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5273040" cy="5273040"/>
            <wp:effectExtent l="0" t="0" r="0" b="10160"/>
            <wp:docPr id="16"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2" descr="IMG_277"/>
                    <pic:cNvPicPr>
                      <a:picLocks noChangeAspect="1"/>
                    </pic:cNvPicPr>
                  </pic:nvPicPr>
                  <pic:blipFill>
                    <a:blip r:embed="rId17"/>
                    <a:stretch>
                      <a:fillRect/>
                    </a:stretch>
                  </pic:blipFill>
                  <pic:spPr>
                    <a:xfrm>
                      <a:off x="0" y="0"/>
                      <a:ext cx="5273040" cy="5273040"/>
                    </a:xfrm>
                    <a:prstGeom prst="rect">
                      <a:avLst/>
                    </a:prstGeom>
                    <a:noFill/>
                    <a:ln w="9525">
                      <a:noFill/>
                    </a:ln>
                  </pic:spPr>
                </pic:pic>
              </a:graphicData>
            </a:graphic>
          </wp:inline>
        </w:drawing>
      </w:r>
    </w:p>
    <w:p w14:paraId="1B7C86A1">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sz w:val="15"/>
          <w:szCs w:val="15"/>
          <w:bdr w:val="none" w:color="auto" w:sz="0" w:space="0"/>
        </w:rPr>
        <w:t>《学会卓越：高成就者都在用的五大心理策略》</w:t>
      </w:r>
    </w:p>
    <w:p w14:paraId="1A819EA4">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15"/>
          <w:szCs w:val="15"/>
          <w:bdr w:val="none" w:color="auto" w:sz="0" w:space="0"/>
        </w:rPr>
        <w:t>作者：[美] 埃里克·波特拉特  艾伦·伊格尔</w:t>
      </w:r>
    </w:p>
    <w:p w14:paraId="26BAA2CF">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15"/>
          <w:szCs w:val="15"/>
          <w:bdr w:val="none" w:color="auto" w:sz="0" w:space="0"/>
        </w:rPr>
        <w:t>出版社：湛庐文化/浙江教育出版社</w:t>
      </w:r>
    </w:p>
    <w:p w14:paraId="2EECACE7">
      <w:pPr>
        <w:keepNext w:val="0"/>
        <w:keepLines w:val="0"/>
        <w:widowControl/>
        <w:suppressLineNumbers w:val="0"/>
        <w:jc w:val="left"/>
      </w:pPr>
    </w:p>
    <w:p w14:paraId="4D94FB6C">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42" w:right="42"/>
      </w:pPr>
      <w:r>
        <w:rPr>
          <w:rStyle w:val="5"/>
          <w:bdr w:val="none" w:color="auto" w:sz="0" w:space="0"/>
        </w:rPr>
        <w:t>上榜理由</w:t>
      </w:r>
    </w:p>
    <w:p w14:paraId="729486C4">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ED6E00"/>
          <w:bdr w:val="none" w:color="auto" w:sz="0" w:space="0"/>
        </w:rPr>
        <w:t>本书是一本关于高绩效心理训练的全面而实用的指南</w:t>
      </w:r>
      <w:r>
        <w:rPr>
          <w:color w:val="666666"/>
          <w:bdr w:val="none" w:color="auto" w:sz="0" w:space="0"/>
        </w:rPr>
        <w:t>。作者埃里克·波特拉特曾是开发海豹突击队心理韧性课程的专家，他曾与数千名精英军事人员、奥运奖牌获得者、巨浪冲浪者、神经外科医生、悬崖跳水者、急救人员、太阳马戏团杂技演员、职业运动员和教练、财富 500 强企业高管和中央情报局分析师合作。 </w:t>
      </w:r>
    </w:p>
    <w:p w14:paraId="6DDC64C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5C03673D">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666666"/>
          <w:bdr w:val="none" w:color="auto" w:sz="0" w:space="0"/>
        </w:rPr>
        <w:t>这些明星在各个领域都有出色表现，但他们都有一个共同点：</w:t>
      </w:r>
      <w:r>
        <w:rPr>
          <w:color w:val="ED6E00"/>
          <w:bdr w:val="none" w:color="auto" w:sz="0" w:space="0"/>
        </w:rPr>
        <w:t>在工作中，他们知道如何清晰思考、保持专注，并在极高的压力下摆脱挫折。这种方法并非天生，而是 100% 后天习得的，即使是世界上表现最出色的人也是如此。</w:t>
      </w:r>
    </w:p>
    <w:p w14:paraId="6C3FB0B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46AE5819">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ED6E00"/>
          <w:bdr w:val="none" w:color="auto" w:sz="0" w:space="0"/>
        </w:rPr>
        <w:t>在本书中，波特拉特博士将自己学到的见解提炼为五项实现卓越表现的心理策略——价值观和目标、心态、过程、逆境容忍度以及平衡与恢复。</w:t>
      </w:r>
      <w:r>
        <w:rPr>
          <w:color w:val="666666"/>
          <w:bdr w:val="none" w:color="auto" w:sz="0" w:space="0"/>
        </w:rPr>
        <w:t>无论是在工作、学校、家庭还是生活中，我们都希望提高自己的表现。书中配有大量故事，并提供了清晰的原则和实践，任何人都可以使用它们来提高自己的水平！</w:t>
      </w:r>
    </w:p>
    <w:p w14:paraId="640EEF76">
      <w:pPr>
        <w:keepNext w:val="0"/>
        <w:keepLines w:val="0"/>
        <w:widowControl/>
        <w:suppressLineNumbers w:val="0"/>
        <w:jc w:val="left"/>
        <w:rPr>
          <w:rStyle w:val="5"/>
          <w:bdr w:val="none" w:color="auto" w:sz="0" w:space="0"/>
        </w:rPr>
      </w:pPr>
      <w:bookmarkStart w:id="0" w:name="_GoBack"/>
      <w:bookmarkEnd w:id="0"/>
    </w:p>
    <w:p w14:paraId="79F74D6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bdr w:val="none" w:color="auto" w:sz="0" w:space="0"/>
        </w:rPr>
        <w:t>YEN TALK</w:t>
      </w:r>
    </w:p>
    <w:p w14:paraId="32F4A831">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69865" cy="7905115"/>
            <wp:effectExtent l="0" t="0" r="635" b="6985"/>
            <wp:docPr id="17"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4" descr="IMG_279"/>
                    <pic:cNvPicPr>
                      <a:picLocks noChangeAspect="1"/>
                    </pic:cNvPicPr>
                  </pic:nvPicPr>
                  <pic:blipFill>
                    <a:blip r:embed="rId18"/>
                    <a:stretch>
                      <a:fillRect/>
                    </a:stretch>
                  </pic:blipFill>
                  <pic:spPr>
                    <a:xfrm>
                      <a:off x="0" y="0"/>
                      <a:ext cx="5269865" cy="7905115"/>
                    </a:xfrm>
                    <a:prstGeom prst="rect">
                      <a:avLst/>
                    </a:prstGeom>
                    <a:noFill/>
                    <a:ln w="9525">
                      <a:noFill/>
                    </a:ln>
                  </pic:spPr>
                </pic:pic>
              </a:graphicData>
            </a:graphic>
          </wp:inline>
        </w:drawing>
      </w:r>
    </w:p>
    <w:p w14:paraId="0ABC5A5C">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微信号</w:t>
      </w:r>
    </w:p>
    <w:p w14:paraId="31815FD5">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2457450" cy="2457450"/>
            <wp:effectExtent l="0" t="0" r="6350" b="6350"/>
            <wp:docPr id="7"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5" descr="IMG_280"/>
                    <pic:cNvPicPr>
                      <a:picLocks noChangeAspect="1"/>
                    </pic:cNvPicPr>
                  </pic:nvPicPr>
                  <pic:blipFill>
                    <a:blip r:embed="rId19"/>
                    <a:stretch>
                      <a:fillRect/>
                    </a:stretch>
                  </pic:blipFill>
                  <pic:spPr>
                    <a:xfrm>
                      <a:off x="0" y="0"/>
                      <a:ext cx="2457450" cy="2457450"/>
                    </a:xfrm>
                    <a:prstGeom prst="rect">
                      <a:avLst/>
                    </a:prstGeom>
                    <a:noFill/>
                    <a:ln w="9525">
                      <a:noFill/>
                    </a:ln>
                  </pic:spPr>
                </pic:pic>
              </a:graphicData>
            </a:graphic>
          </wp:inline>
        </w:drawing>
      </w:r>
    </w:p>
    <w:p w14:paraId="11254B0F">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color w:val="7B7F83"/>
          <w:bdr w:val="none" w:color="auto" w:sz="0" w:space="0"/>
        </w:rPr>
        <w:t>点击上图了解更多！</w:t>
      </w:r>
    </w:p>
    <w:p w14:paraId="342FDA67">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72192CAF">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6BD8F0F1">
      <w:pPr>
        <w:keepNext w:val="0"/>
        <w:keepLines w:val="0"/>
        <w:widowControl/>
        <w:suppressLineNumbers w:val="0"/>
        <w:jc w:val="left"/>
      </w:pPr>
    </w:p>
    <w:p w14:paraId="335D06EF"/>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 w:name="MS PGothic">
    <w:panose1 w:val="020B0600070205080204"/>
    <w:charset w:val="80"/>
    <w:family w:val="auto"/>
    <w:pitch w:val="default"/>
    <w:sig w:usb0="E00002FF" w:usb1="6AC7FDFB" w:usb2="08000012"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241427C"/>
    <w:rsid w:val="424142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20</Pages>
  <Words>0</Words>
  <Characters>0</Characters>
  <Lines>0</Lines>
  <Paragraphs>0</Paragraphs>
  <TotalTime>1</TotalTime>
  <ScaleCrop>false</ScaleCrop>
  <LinksUpToDate>false</LinksUpToDate>
  <CharactersWithSpaces>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2026-03-11T06:35:00Z</dcterms:created>
  <dc:creator>Van晓燔</dc:creator>
  <cp:lastModifiedBy>Van晓燔</cp:lastModifiedBy>
  <dcterms:modified xsi:type="dcterms:W3CDTF">2026-03-11T06:37:46Z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775269A4BC704295953A2BCA0A220866_11</vt:lpwstr>
  </property>
  <property fmtid="{D5CDD505-2E9C-101B-9397-08002B2CF9AE}" pid="4" name="KSOTemplateDocerSaveRecord">
    <vt:lpwstr>eyJoZGlkIjoiZTc0NDg1ODU5YTA5YjBjOTQ2YTkyYTEzOTM3MTM2NWYiLCJ1c2VySWQiOiIyMTM4ODM5OTEifQ==</vt:lpwstr>
  </property>
</Properties>
</file>